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3"/>
        <w:gridCol w:w="7064"/>
      </w:tblGrid>
      <w:tr w:rsidR="009171CB" w:rsidRPr="00151216" w:rsidTr="006108D0">
        <w:trPr>
          <w:trHeight w:val="315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9171CB" w:rsidRPr="002B2485" w:rsidRDefault="009171CB" w:rsidP="006108D0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>Nom de cas test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</w:tcPr>
          <w:p w:rsidR="009171CB" w:rsidRPr="007072AA" w:rsidRDefault="009171CB" w:rsidP="006108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Gérer le passage  d’un CDD en CDI</w:t>
            </w:r>
          </w:p>
        </w:tc>
      </w:tr>
      <w:tr w:rsidR="00490600" w:rsidRPr="00151216" w:rsidTr="00E11AF2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490600" w:rsidRPr="002B2485" w:rsidRDefault="00490600" w:rsidP="002B2485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490600" w:rsidRPr="009171CB" w:rsidRDefault="00490600" w:rsidP="00E11AF2">
            <w:pPr>
              <w:spacing w:after="0" w:line="240" w:lineRule="auto"/>
              <w:rPr>
                <w:rFonts w:cs="Calibri"/>
                <w:color w:val="FFFFFF" w:themeColor="background1"/>
                <w:u w:val="single"/>
                <w:lang w:eastAsia="fr-FR"/>
              </w:rPr>
            </w:pPr>
          </w:p>
        </w:tc>
      </w:tr>
      <w:tr w:rsidR="00490600" w:rsidRPr="00151216" w:rsidTr="007F48C0">
        <w:trPr>
          <w:trHeight w:val="861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90600" w:rsidRPr="002B2485" w:rsidRDefault="00490600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490600" w:rsidRPr="007F48C0" w:rsidRDefault="00490600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procédure indiquée ci-dessous vous permettra de remplir vos obligations déclaratives en cas de continuité d’un contrat initialement en CDD qui devient un CDI</w:t>
            </w:r>
          </w:p>
        </w:tc>
      </w:tr>
      <w:tr w:rsidR="00490600" w:rsidRPr="00151216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490600" w:rsidRPr="002B2485" w:rsidRDefault="00490600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490600" w:rsidRPr="007072AA" w:rsidRDefault="00490600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490600" w:rsidRPr="006D3728" w:rsidRDefault="00A00635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le salarié est embauché en CDI à l’issue de son CDD. Il bénéficie de son ancienneté dans l’entreprise et des droits acquis avec son CDD </w:t>
            </w:r>
            <w:r w:rsidR="00736B6C">
              <w:rPr>
                <w:rFonts w:cs="Calibri"/>
                <w:color w:val="000000"/>
                <w:sz w:val="20"/>
                <w:szCs w:val="20"/>
                <w:lang w:eastAsia="fr-FR"/>
              </w:rPr>
              <w:t>(CDD du 01/01/AAAA au 31/03/AAAA), puis CDI au 01/04/AAAA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6D3728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Attendu en sortie du logiciel : </w:t>
            </w:r>
          </w:p>
          <w:p w:rsidR="00490600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P</w:t>
            </w:r>
            <w:r w:rsidRPr="006D372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as de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transmission d’une </w:t>
            </w:r>
            <w:r w:rsidR="00736B6C">
              <w:rPr>
                <w:rFonts w:cs="Calibri"/>
                <w:color w:val="000000"/>
                <w:sz w:val="20"/>
                <w:szCs w:val="20"/>
                <w:lang w:eastAsia="fr-FR"/>
              </w:rPr>
              <w:t>fin de contrat au 31/03/AAAA</w:t>
            </w:r>
            <w:r w:rsidRPr="006D372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,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aucune </w:t>
            </w:r>
            <w:r w:rsidR="00A00635">
              <w:rPr>
                <w:rFonts w:cs="Calibri"/>
                <w:color w:val="000000"/>
                <w:sz w:val="20"/>
                <w:szCs w:val="20"/>
                <w:lang w:eastAsia="fr-FR"/>
              </w:rPr>
              <w:t>indemnité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de fin de contrat n’est 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normalement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versée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(mais si elle l’est cela sera transmis en DSN sachant que dans ce cas la procédure PE sera par suite sur ce contrat hors DSN, PE n’acceptant </w:t>
            </w:r>
            <w:r w:rsidR="009171CB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pas 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>qu’une prolongation de CDD donne tout de même lieu à indemnité)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. </w:t>
            </w:r>
          </w:p>
          <w:p w:rsidR="00490600" w:rsidRPr="007072AA" w:rsidRDefault="00490600" w:rsidP="00A56AC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Un bloc changement doit être présent afin de faire le lien avec l’ancien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contrat en tenant compte du changement de</w:t>
            </w:r>
            <w:r w:rsidR="00A00635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nature de contrat</w:t>
            </w:r>
          </w:p>
        </w:tc>
      </w:tr>
      <w:tr w:rsidR="00490600" w:rsidRPr="00151216" w:rsidTr="00265394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90600" w:rsidRPr="002B2485" w:rsidRDefault="00490600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</w:tcPr>
          <w:p w:rsidR="00490600" w:rsidRPr="006D3728" w:rsidRDefault="00490600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DE MARS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1/AAAA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CDD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Date de fin prévisionnelle =31/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3/AAAA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</w:t>
            </w:r>
            <w:r w:rsid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de versement = 31/03/AAAA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1/03 au 31/03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D'AVRIL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</w:t>
            </w:r>
            <w:r w:rsid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Date de début contrat = 1/1/AAAA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fin prévisionnelle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= non renseignée</w:t>
            </w:r>
          </w:p>
          <w:p w:rsidR="00490600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490600" w:rsidRPr="00265394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S21.G00.41 « Changement du contrat »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 :</w:t>
            </w:r>
          </w:p>
          <w:p w:rsidR="00490600" w:rsidRPr="00736B6C" w:rsidRDefault="00490600" w:rsidP="00736B6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Date de modification : 01/04</w:t>
            </w:r>
            <w:r w:rsidR="00736B6C" w:rsidRP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/AAAA</w:t>
            </w:r>
          </w:p>
          <w:p w:rsidR="00490600" w:rsidRPr="00736B6C" w:rsidRDefault="00490600" w:rsidP="00736B6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Ancienne nature de contrat : CDD</w:t>
            </w:r>
          </w:p>
          <w:p w:rsidR="00736B6C" w:rsidRPr="00736B6C" w:rsidRDefault="00736B6C" w:rsidP="00736B6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736B6C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Profondeur de </w:t>
            </w:r>
            <w:proofErr w:type="spellStart"/>
            <w:r w:rsidRP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recalcul</w:t>
            </w:r>
            <w:proofErr w:type="spellEnd"/>
            <w:r w:rsidRPr="00736B6C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de la paie : 01/04/AAAA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</w:t>
            </w:r>
            <w:r w:rsidR="00736B6C">
              <w:rPr>
                <w:rFonts w:cs="Calibri"/>
                <w:color w:val="000000"/>
                <w:sz w:val="16"/>
                <w:szCs w:val="16"/>
                <w:lang w:eastAsia="fr-FR"/>
              </w:rPr>
              <w:t>versement = 30/04/AAAA</w:t>
            </w:r>
            <w:bookmarkStart w:id="0" w:name="_GoBack"/>
            <w:bookmarkEnd w:id="0"/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1/04 au 31/04</w:t>
            </w:r>
          </w:p>
          <w:p w:rsidR="00490600" w:rsidRPr="00265394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</w:p>
        </w:tc>
      </w:tr>
      <w:tr w:rsidR="00490600" w:rsidRPr="00151216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0600" w:rsidRPr="002B2485" w:rsidRDefault="00490600" w:rsidP="002B2485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0600" w:rsidRPr="002B2485" w:rsidRDefault="00490600" w:rsidP="00E11AF2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</w:tr>
    </w:tbl>
    <w:p w:rsidR="00490600" w:rsidRDefault="00490600"/>
    <w:sectPr w:rsidR="00490600" w:rsidSect="008D5E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BEF" w:rsidRDefault="00C74BEF" w:rsidP="008D7466">
      <w:pPr>
        <w:spacing w:after="0" w:line="240" w:lineRule="auto"/>
      </w:pPr>
      <w:r>
        <w:separator/>
      </w:r>
    </w:p>
  </w:endnote>
  <w:endnote w:type="continuationSeparator" w:id="0">
    <w:p w:rsidR="00C74BEF" w:rsidRDefault="00C74BEF" w:rsidP="008D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BEF" w:rsidRDefault="00C74BEF" w:rsidP="008D7466">
      <w:pPr>
        <w:spacing w:after="0" w:line="240" w:lineRule="auto"/>
      </w:pPr>
      <w:r>
        <w:separator/>
      </w:r>
    </w:p>
  </w:footnote>
  <w:footnote w:type="continuationSeparator" w:id="0">
    <w:p w:rsidR="00C74BEF" w:rsidRDefault="00C74BEF" w:rsidP="008D7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466" w:rsidRDefault="008D7466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647CD"/>
    <w:multiLevelType w:val="hybridMultilevel"/>
    <w:tmpl w:val="16B688FE"/>
    <w:lvl w:ilvl="0" w:tplc="72A45A56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757C01"/>
    <w:multiLevelType w:val="hybridMultilevel"/>
    <w:tmpl w:val="F6C0E392"/>
    <w:lvl w:ilvl="0" w:tplc="72A45A56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5237C"/>
    <w:rsid w:val="000731C3"/>
    <w:rsid w:val="000A18CF"/>
    <w:rsid w:val="00151216"/>
    <w:rsid w:val="001A1A50"/>
    <w:rsid w:val="00216ECD"/>
    <w:rsid w:val="00225BD9"/>
    <w:rsid w:val="00265394"/>
    <w:rsid w:val="002B2485"/>
    <w:rsid w:val="00490600"/>
    <w:rsid w:val="00494342"/>
    <w:rsid w:val="004C300A"/>
    <w:rsid w:val="004E406B"/>
    <w:rsid w:val="006D3728"/>
    <w:rsid w:val="006D5BB9"/>
    <w:rsid w:val="007072AA"/>
    <w:rsid w:val="00736B6C"/>
    <w:rsid w:val="007A709D"/>
    <w:rsid w:val="007F48C0"/>
    <w:rsid w:val="00800CE1"/>
    <w:rsid w:val="00831A14"/>
    <w:rsid w:val="00836CAF"/>
    <w:rsid w:val="008D5E19"/>
    <w:rsid w:val="008D7466"/>
    <w:rsid w:val="009171CB"/>
    <w:rsid w:val="0096210D"/>
    <w:rsid w:val="00994A1B"/>
    <w:rsid w:val="009F3371"/>
    <w:rsid w:val="00A00635"/>
    <w:rsid w:val="00A56ACA"/>
    <w:rsid w:val="00AD234B"/>
    <w:rsid w:val="00C14AD2"/>
    <w:rsid w:val="00C74BEF"/>
    <w:rsid w:val="00D82AA1"/>
    <w:rsid w:val="00E11AF2"/>
    <w:rsid w:val="00F20536"/>
    <w:rsid w:val="00F20EAF"/>
    <w:rsid w:val="00F92E31"/>
    <w:rsid w:val="00FA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33FA29-4CDE-463D-BF48-7447D5D1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rsid w:val="002B248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0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00635"/>
    <w:rPr>
      <w:rFonts w:ascii="Segoe UI" w:hAnsi="Segoe UI" w:cs="Segoe UI"/>
      <w:sz w:val="18"/>
      <w:szCs w:val="18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8D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746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8D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7466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36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0EF3-DD7C-48A8-97C2-486D72D4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Guillaume COSNEAU</cp:lastModifiedBy>
  <cp:revision>3</cp:revision>
  <dcterms:created xsi:type="dcterms:W3CDTF">2017-12-05T14:45:00Z</dcterms:created>
  <dcterms:modified xsi:type="dcterms:W3CDTF">2017-12-05T14:50:00Z</dcterms:modified>
</cp:coreProperties>
</file>